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E7" w:rsidRPr="00274DF2" w:rsidRDefault="00996BE7" w:rsidP="004E3AF7">
      <w:pPr>
        <w:spacing w:line="440" w:lineRule="exact"/>
        <w:jc w:val="center"/>
        <w:rPr>
          <w:rFonts w:ascii="標楷體" w:eastAsia="標楷體" w:hAnsi="標楷體" w:cs="Times New Roman"/>
          <w:b/>
          <w:bCs/>
          <w:sz w:val="36"/>
          <w:szCs w:val="36"/>
        </w:rPr>
      </w:pPr>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996BE7" w:rsidRDefault="00996BE7" w:rsidP="00D70B70">
      <w:pPr>
        <w:pStyle w:val="ListParagraph"/>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996BE7" w:rsidRDefault="00996BE7" w:rsidP="00D70B70">
      <w:pPr>
        <w:pStyle w:val="ListParagraph"/>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996BE7" w:rsidRPr="002B601E" w:rsidRDefault="00996BE7" w:rsidP="002B601E">
      <w:pPr>
        <w:pStyle w:val="ListParagraph"/>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996BE7" w:rsidRPr="00F43C5E" w:rsidRDefault="00996BE7" w:rsidP="00D70B70">
      <w:pPr>
        <w:pStyle w:val="ListParagraph"/>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996BE7" w:rsidRPr="007E785F" w:rsidRDefault="00996BE7" w:rsidP="00D70B70">
      <w:pPr>
        <w:pStyle w:val="ListParagraph"/>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996BE7" w:rsidRPr="007E785F" w:rsidRDefault="00996BE7" w:rsidP="00D70B70">
      <w:pPr>
        <w:pStyle w:val="ListParagraph"/>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996BE7" w:rsidRPr="007E785F" w:rsidRDefault="00996BE7" w:rsidP="00D70B70">
      <w:pPr>
        <w:pStyle w:val="ListParagraph"/>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996BE7" w:rsidRPr="00030CA7" w:rsidRDefault="00996BE7" w:rsidP="00D70B70">
      <w:pPr>
        <w:pStyle w:val="ListParagraph"/>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996BE7" w:rsidRPr="00465007" w:rsidRDefault="00996BE7" w:rsidP="00D70B70">
      <w:pPr>
        <w:pStyle w:val="ListParagraph"/>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100"/>
        <w:gridCol w:w="1451"/>
        <w:gridCol w:w="677"/>
        <w:gridCol w:w="1078"/>
        <w:gridCol w:w="2356"/>
        <w:gridCol w:w="1559"/>
        <w:gridCol w:w="992"/>
        <w:gridCol w:w="1336"/>
      </w:tblGrid>
      <w:tr w:rsidR="00996BE7" w:rsidRPr="009D5465">
        <w:trPr>
          <w:trHeight w:val="689"/>
        </w:trPr>
        <w:tc>
          <w:tcPr>
            <w:tcW w:w="568"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編號</w:t>
            </w:r>
          </w:p>
        </w:tc>
        <w:tc>
          <w:tcPr>
            <w:tcW w:w="1100"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班別</w:t>
            </w:r>
          </w:p>
        </w:tc>
        <w:tc>
          <w:tcPr>
            <w:tcW w:w="1451"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時間</w:t>
            </w:r>
          </w:p>
        </w:tc>
        <w:tc>
          <w:tcPr>
            <w:tcW w:w="677"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次數</w:t>
            </w:r>
          </w:p>
        </w:tc>
        <w:tc>
          <w:tcPr>
            <w:tcW w:w="1078"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地點</w:t>
            </w:r>
          </w:p>
        </w:tc>
        <w:tc>
          <w:tcPr>
            <w:tcW w:w="2356"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課程簡介</w:t>
            </w:r>
          </w:p>
        </w:tc>
        <w:tc>
          <w:tcPr>
            <w:tcW w:w="1559"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材料費</w:t>
            </w:r>
          </w:p>
        </w:tc>
        <w:tc>
          <w:tcPr>
            <w:tcW w:w="992"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指導</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老師</w:t>
            </w:r>
          </w:p>
        </w:tc>
        <w:tc>
          <w:tcPr>
            <w:tcW w:w="1336"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對象</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兒童美語</w:t>
            </w: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5/16~6/13</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BC56DB">
            <w:pPr>
              <w:rPr>
                <w:rFonts w:ascii="標楷體" w:eastAsia="標楷體" w:hAnsi="標楷體" w:cs="Times New Roman"/>
                <w:sz w:val="22"/>
                <w:szCs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陳玉女</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2</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寫作</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5/17~9/27</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996BE7" w:rsidRPr="009D5465" w:rsidRDefault="00996BE7"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Default="00996BE7" w:rsidP="00487CFF">
            <w:pPr>
              <w:rPr>
                <w:rFonts w:ascii="標楷體" w:eastAsia="標楷體" w:hAnsi="標楷體" w:cs="Times New Roman"/>
                <w:sz w:val="22"/>
                <w:szCs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996BE7" w:rsidRPr="009D5465" w:rsidRDefault="00996BE7" w:rsidP="00487CFF">
            <w:pPr>
              <w:rPr>
                <w:rFonts w:ascii="標楷體" w:eastAsia="標楷體" w:hAnsi="標楷體" w:cs="Times New Roman"/>
                <w:sz w:val="22"/>
                <w:szCs w:val="22"/>
              </w:rPr>
            </w:pP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p w:rsidR="00996BE7" w:rsidRPr="009D5465" w:rsidRDefault="00996BE7" w:rsidP="009D5465">
            <w:pPr>
              <w:spacing w:line="320" w:lineRule="exact"/>
              <w:rPr>
                <w:rFonts w:ascii="標楷體" w:eastAsia="標楷體" w:hAnsi="標楷體" w:cs="Times New Roman"/>
                <w:sz w:val="22"/>
                <w:szCs w:val="22"/>
              </w:rPr>
            </w:pP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江連君</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書法</w:t>
            </w: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5/17~9/27</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487CFF">
            <w:pPr>
              <w:rPr>
                <w:rFonts w:ascii="標楷體" w:eastAsia="標楷體" w:hAnsi="標楷體" w:cs="Times New Roman"/>
                <w:sz w:val="22"/>
                <w:szCs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996BE7" w:rsidRPr="009D5465" w:rsidRDefault="00996BE7" w:rsidP="00487CFF">
            <w:pPr>
              <w:rPr>
                <w:rFonts w:ascii="標楷體" w:eastAsia="標楷體" w:hAnsi="標楷體" w:cs="Times New Roman"/>
                <w:sz w:val="22"/>
                <w:szCs w:val="22"/>
              </w:rPr>
            </w:pP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免費，自備筆墨紙硯</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沈燕誠</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有興趣民眾</w:t>
            </w:r>
          </w:p>
        </w:tc>
      </w:tr>
      <w:tr w:rsidR="00996BE7" w:rsidRPr="009D5465">
        <w:tc>
          <w:tcPr>
            <w:tcW w:w="568"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編號</w:t>
            </w:r>
          </w:p>
        </w:tc>
        <w:tc>
          <w:tcPr>
            <w:tcW w:w="1100"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班別</w:t>
            </w:r>
          </w:p>
        </w:tc>
        <w:tc>
          <w:tcPr>
            <w:tcW w:w="1451"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時間</w:t>
            </w:r>
          </w:p>
        </w:tc>
        <w:tc>
          <w:tcPr>
            <w:tcW w:w="677"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次數</w:t>
            </w:r>
          </w:p>
        </w:tc>
        <w:tc>
          <w:tcPr>
            <w:tcW w:w="1078"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地點</w:t>
            </w:r>
          </w:p>
        </w:tc>
        <w:tc>
          <w:tcPr>
            <w:tcW w:w="2356"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課程簡介</w:t>
            </w:r>
          </w:p>
        </w:tc>
        <w:tc>
          <w:tcPr>
            <w:tcW w:w="1559"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材料費</w:t>
            </w:r>
          </w:p>
        </w:tc>
        <w:tc>
          <w:tcPr>
            <w:tcW w:w="992"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指導</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老師</w:t>
            </w:r>
          </w:p>
        </w:tc>
        <w:tc>
          <w:tcPr>
            <w:tcW w:w="1336"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對象</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4</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5/20~6/24</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996BE7" w:rsidRDefault="00996BE7" w:rsidP="00CB3978">
            <w:pPr>
              <w:rPr>
                <w:rFonts w:cs="Times New Roman"/>
              </w:rPr>
            </w:pPr>
          </w:p>
          <w:p w:rsidR="00996BE7" w:rsidRPr="009D5465" w:rsidRDefault="00996BE7" w:rsidP="00CB3978">
            <w:pPr>
              <w:rPr>
                <w:rFonts w:cs="Times New Roman"/>
              </w:rPr>
            </w:pPr>
          </w:p>
        </w:tc>
        <w:tc>
          <w:tcPr>
            <w:tcW w:w="1559"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適合成人</w:t>
            </w:r>
          </w:p>
          <w:p w:rsidR="00996BE7" w:rsidRPr="009D5465" w:rsidRDefault="00996BE7" w:rsidP="009D5465">
            <w:pPr>
              <w:spacing w:line="320" w:lineRule="exact"/>
              <w:rPr>
                <w:rFonts w:ascii="標楷體" w:eastAsia="標楷體" w:hAnsi="標楷體" w:cs="Times New Roman"/>
                <w:sz w:val="22"/>
                <w:szCs w:val="22"/>
              </w:rPr>
            </w:pPr>
          </w:p>
        </w:tc>
      </w:tr>
      <w:tr w:rsidR="00996BE7" w:rsidRPr="009D5465">
        <w:trPr>
          <w:trHeight w:val="567"/>
        </w:trPr>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5/20~6/24</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996BE7" w:rsidRDefault="00996BE7" w:rsidP="00CB3978">
            <w:pPr>
              <w:rPr>
                <w:rFonts w:ascii="標楷體" w:eastAsia="標楷體" w:hAnsi="標楷體" w:cs="Times New Roman"/>
                <w:sz w:val="22"/>
                <w:szCs w:val="22"/>
              </w:rPr>
            </w:pPr>
          </w:p>
          <w:p w:rsidR="00996BE7" w:rsidRPr="009D5465" w:rsidRDefault="00996BE7" w:rsidP="00CB3978">
            <w:pPr>
              <w:rPr>
                <w:rFonts w:ascii="標楷體" w:eastAsia="標楷體" w:hAnsi="標楷體" w:cs="Times New Roman"/>
                <w:sz w:val="22"/>
                <w:szCs w:val="22"/>
              </w:rPr>
            </w:pPr>
          </w:p>
        </w:tc>
        <w:tc>
          <w:tcPr>
            <w:tcW w:w="1559"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p>
          <w:p w:rsidR="00996BE7" w:rsidRPr="009D5465" w:rsidRDefault="00996BE7" w:rsidP="009D5465">
            <w:pPr>
              <w:spacing w:line="320" w:lineRule="exact"/>
              <w:rPr>
                <w:rFonts w:ascii="標楷體" w:eastAsia="標楷體" w:hAnsi="標楷體" w:cs="Times New Roman"/>
                <w:sz w:val="22"/>
                <w:szCs w:val="22"/>
              </w:rPr>
            </w:pPr>
          </w:p>
        </w:tc>
      </w:tr>
      <w:tr w:rsidR="00996BE7" w:rsidRPr="009D5465">
        <w:tc>
          <w:tcPr>
            <w:tcW w:w="568" w:type="dxa"/>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b/>
                <w:bCs/>
                <w:sz w:val="22"/>
                <w:szCs w:val="22"/>
              </w:rPr>
              <w:t>6</w:t>
            </w:r>
          </w:p>
        </w:tc>
        <w:tc>
          <w:tcPr>
            <w:tcW w:w="1100"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7/4~8/8</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996BE7" w:rsidRPr="009D5465" w:rsidRDefault="00996BE7" w:rsidP="009D5465">
            <w:pPr>
              <w:spacing w:line="320" w:lineRule="exact"/>
              <w:rPr>
                <w:rFonts w:ascii="標楷體" w:eastAsia="標楷體" w:hAnsi="標楷體" w:cs="Times New Roman"/>
                <w:color w:val="4472C4"/>
                <w:sz w:val="22"/>
                <w:szCs w:val="22"/>
              </w:rPr>
            </w:pP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陳慧薐</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996BE7" w:rsidRPr="009D5465" w:rsidRDefault="00996BE7" w:rsidP="009D5465">
            <w:pPr>
              <w:spacing w:line="320" w:lineRule="exact"/>
              <w:rPr>
                <w:rFonts w:ascii="標楷體" w:eastAsia="標楷體" w:hAnsi="標楷體" w:cs="Times New Roman"/>
                <w:color w:val="4472C4"/>
                <w:sz w:val="22"/>
                <w:szCs w:val="22"/>
              </w:rPr>
            </w:pPr>
          </w:p>
        </w:tc>
      </w:tr>
      <w:tr w:rsidR="00996BE7" w:rsidRPr="009D5465">
        <w:tc>
          <w:tcPr>
            <w:tcW w:w="568" w:type="dxa"/>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b/>
                <w:bCs/>
                <w:sz w:val="22"/>
                <w:szCs w:val="22"/>
              </w:rPr>
              <w:t>7</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7/4~8/8</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996BE7" w:rsidRPr="009D5465" w:rsidRDefault="00996BE7" w:rsidP="009D5465">
            <w:pPr>
              <w:spacing w:line="320" w:lineRule="exact"/>
              <w:rPr>
                <w:rFonts w:ascii="標楷體" w:eastAsia="標楷體" w:hAnsi="標楷體" w:cs="Times New Roman"/>
                <w:sz w:val="22"/>
                <w:szCs w:val="22"/>
              </w:rPr>
            </w:pPr>
          </w:p>
          <w:p w:rsidR="00996BE7" w:rsidRDefault="00996BE7" w:rsidP="009D5465">
            <w:pPr>
              <w:spacing w:line="320" w:lineRule="exact"/>
              <w:rPr>
                <w:rFonts w:ascii="標楷體" w:eastAsia="標楷體" w:hAnsi="標楷體" w:cs="Times New Roman"/>
                <w:color w:val="4472C4"/>
                <w:sz w:val="22"/>
                <w:szCs w:val="22"/>
              </w:rPr>
            </w:pPr>
          </w:p>
          <w:p w:rsidR="00996BE7" w:rsidRPr="009D5465" w:rsidRDefault="00996BE7" w:rsidP="009D5465">
            <w:pPr>
              <w:spacing w:line="320" w:lineRule="exact"/>
              <w:rPr>
                <w:rFonts w:ascii="標楷體" w:eastAsia="標楷體" w:hAnsi="標楷體" w:cs="Times New Roman"/>
                <w:color w:val="4472C4"/>
                <w:sz w:val="22"/>
                <w:szCs w:val="22"/>
              </w:rPr>
            </w:pPr>
          </w:p>
        </w:tc>
        <w:tc>
          <w:tcPr>
            <w:tcW w:w="1559"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王秀華</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8</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7/29~8/26</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996BE7" w:rsidRPr="009D5465" w:rsidRDefault="00996BE7" w:rsidP="00CB3978">
            <w:pPr>
              <w:rPr>
                <w:rFonts w:ascii="標楷體" w:eastAsia="標楷體" w:hAnsi="標楷體" w:cs="Times New Roman"/>
                <w:sz w:val="22"/>
                <w:szCs w:val="22"/>
              </w:rPr>
            </w:pPr>
          </w:p>
          <w:p w:rsidR="00996BE7" w:rsidRDefault="00996BE7" w:rsidP="00CB3978">
            <w:pPr>
              <w:rPr>
                <w:rFonts w:ascii="標楷體" w:eastAsia="標楷體" w:hAnsi="標楷體" w:cs="Times New Roman"/>
                <w:sz w:val="22"/>
                <w:szCs w:val="22"/>
              </w:rPr>
            </w:pPr>
          </w:p>
          <w:p w:rsidR="00996BE7" w:rsidRPr="009D5465" w:rsidRDefault="00996BE7" w:rsidP="00CB3978">
            <w:pPr>
              <w:rPr>
                <w:rFonts w:ascii="標楷體" w:eastAsia="標楷體" w:hAnsi="標楷體" w:cs="Times New Roman"/>
                <w:sz w:val="22"/>
                <w:szCs w:val="22"/>
              </w:rPr>
            </w:pP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適合成人</w:t>
            </w:r>
          </w:p>
          <w:p w:rsidR="00996BE7" w:rsidRPr="009D5465" w:rsidRDefault="00996BE7" w:rsidP="009D5465">
            <w:pPr>
              <w:spacing w:line="320" w:lineRule="exact"/>
              <w:rPr>
                <w:rFonts w:ascii="標楷體" w:eastAsia="標楷體" w:hAnsi="標楷體" w:cs="Times New Roman"/>
                <w:sz w:val="22"/>
                <w:szCs w:val="22"/>
              </w:rPr>
            </w:pPr>
          </w:p>
        </w:tc>
      </w:tr>
      <w:tr w:rsidR="00996BE7" w:rsidRPr="009D5465">
        <w:tc>
          <w:tcPr>
            <w:tcW w:w="568"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編號</w:t>
            </w:r>
          </w:p>
        </w:tc>
        <w:tc>
          <w:tcPr>
            <w:tcW w:w="1100"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班別</w:t>
            </w:r>
          </w:p>
        </w:tc>
        <w:tc>
          <w:tcPr>
            <w:tcW w:w="1451"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時間</w:t>
            </w:r>
          </w:p>
        </w:tc>
        <w:tc>
          <w:tcPr>
            <w:tcW w:w="677"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次數</w:t>
            </w:r>
          </w:p>
        </w:tc>
        <w:tc>
          <w:tcPr>
            <w:tcW w:w="1078"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地點</w:t>
            </w:r>
          </w:p>
        </w:tc>
        <w:tc>
          <w:tcPr>
            <w:tcW w:w="2356"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課程簡介</w:t>
            </w:r>
          </w:p>
        </w:tc>
        <w:tc>
          <w:tcPr>
            <w:tcW w:w="1559"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材料費</w:t>
            </w:r>
          </w:p>
        </w:tc>
        <w:tc>
          <w:tcPr>
            <w:tcW w:w="992"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指導</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老師</w:t>
            </w:r>
          </w:p>
        </w:tc>
        <w:tc>
          <w:tcPr>
            <w:tcW w:w="1336" w:type="dxa"/>
            <w:shd w:val="clear" w:color="auto" w:fill="E7E6E6"/>
          </w:tcPr>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996BE7" w:rsidRPr="009D5465" w:rsidRDefault="00996BE7"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對象</w:t>
            </w:r>
          </w:p>
        </w:tc>
      </w:tr>
      <w:tr w:rsidR="00996BE7" w:rsidRPr="009D5465">
        <w:trPr>
          <w:trHeight w:val="4455"/>
        </w:trPr>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7/29~8/26</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widowControl/>
              <w:rPr>
                <w:rFonts w:ascii="標楷體" w:eastAsia="標楷體" w:hAnsi="標楷體" w:cs="Times New Roman"/>
                <w:sz w:val="22"/>
                <w:szCs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方儷容</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p>
          <w:p w:rsidR="00996BE7" w:rsidRPr="009D5465" w:rsidRDefault="00996BE7" w:rsidP="009D5465">
            <w:pPr>
              <w:spacing w:line="320" w:lineRule="exact"/>
              <w:rPr>
                <w:rFonts w:ascii="標楷體" w:eastAsia="標楷體" w:hAnsi="標楷體" w:cs="Times New Roman"/>
                <w:sz w:val="22"/>
                <w:szCs w:val="22"/>
              </w:rPr>
            </w:pPr>
          </w:p>
        </w:tc>
      </w:tr>
      <w:tr w:rsidR="00996BE7" w:rsidRPr="009D5465">
        <w:trPr>
          <w:trHeight w:val="2390"/>
        </w:trPr>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10</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兒童美語</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8/22~9/19</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陳玉女</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適合親子</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996BE7" w:rsidRPr="009D5465" w:rsidRDefault="00996BE7"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996BE7" w:rsidRPr="009D5465">
        <w:trPr>
          <w:trHeight w:val="2962"/>
        </w:trPr>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11</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話説台語俗諺－細數生活智慧</w:t>
            </w: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9/5~9/19</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pStyle w:val="ListParagraph"/>
              <w:numPr>
                <w:ilvl w:val="0"/>
                <w:numId w:val="5"/>
              </w:numPr>
              <w:spacing w:line="320" w:lineRule="exact"/>
              <w:ind w:leftChars="0"/>
              <w:rPr>
                <w:rFonts w:ascii="標楷體" w:eastAsia="標楷體" w:hAnsi="標楷體" w:cs="Times New Roman"/>
                <w:sz w:val="22"/>
                <w:szCs w:val="22"/>
              </w:rPr>
            </w:pPr>
            <w:r w:rsidRPr="009D5465">
              <w:rPr>
                <w:rFonts w:ascii="標楷體" w:eastAsia="標楷體" w:hAnsi="標楷體" w:cs="標楷體" w:hint="eastAsia"/>
                <w:sz w:val="22"/>
                <w:szCs w:val="22"/>
              </w:rPr>
              <w:t>探討並理解自古流傳至今而價值不減日常生活中多元多樣的台語俗諺。</w:t>
            </w:r>
          </w:p>
          <w:p w:rsidR="00996BE7" w:rsidRPr="009D5465" w:rsidRDefault="00996BE7" w:rsidP="009D5465">
            <w:pPr>
              <w:pStyle w:val="ListParagraph"/>
              <w:numPr>
                <w:ilvl w:val="0"/>
                <w:numId w:val="5"/>
              </w:numPr>
              <w:spacing w:line="320" w:lineRule="exact"/>
              <w:ind w:leftChars="0"/>
              <w:rPr>
                <w:rFonts w:ascii="標楷體" w:eastAsia="標楷體" w:hAnsi="標楷體" w:cs="Times New Roman"/>
                <w:sz w:val="22"/>
                <w:szCs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王建龍</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有興趣民眾</w:t>
            </w:r>
          </w:p>
        </w:tc>
      </w:tr>
      <w:tr w:rsidR="00996BE7" w:rsidRPr="009D5465">
        <w:trPr>
          <w:trHeight w:val="2527"/>
        </w:trPr>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12</w:t>
            </w:r>
          </w:p>
        </w:tc>
        <w:tc>
          <w:tcPr>
            <w:tcW w:w="1100"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996BE7" w:rsidRPr="009D5465" w:rsidRDefault="00996BE7" w:rsidP="009D5465">
            <w:pPr>
              <w:spacing w:line="320" w:lineRule="exact"/>
              <w:rPr>
                <w:rFonts w:ascii="標楷體" w:eastAsia="標楷體" w:hAnsi="標楷體" w:cs="Times New Roman"/>
                <w:sz w:val="22"/>
                <w:szCs w:val="22"/>
              </w:rPr>
            </w:pP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10/17~11/21</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9:00~11:00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996BE7" w:rsidRPr="009D5465" w:rsidRDefault="00996BE7" w:rsidP="00CB3978">
            <w:pPr>
              <w:rPr>
                <w:rFonts w:ascii="標楷體" w:eastAsia="標楷體" w:hAnsi="標楷體" w:cs="Times New Roman"/>
                <w:sz w:val="22"/>
                <w:szCs w:val="22"/>
              </w:rPr>
            </w:pP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陳慧薐</w:t>
            </w:r>
          </w:p>
        </w:tc>
        <w:tc>
          <w:tcPr>
            <w:tcW w:w="1336" w:type="dxa"/>
          </w:tcPr>
          <w:p w:rsidR="00996BE7" w:rsidRPr="009D5465" w:rsidRDefault="00996BE7"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996BE7" w:rsidRPr="009D5465" w:rsidRDefault="00996BE7" w:rsidP="00CB3978">
            <w:pPr>
              <w:rPr>
                <w:rFonts w:ascii="標楷體" w:eastAsia="標楷體" w:hAnsi="標楷體" w:cs="Times New Roman"/>
                <w:sz w:val="22"/>
                <w:szCs w:val="22"/>
              </w:rPr>
            </w:pPr>
          </w:p>
        </w:tc>
      </w:tr>
      <w:tr w:rsidR="00996BE7" w:rsidRPr="009D5465">
        <w:tc>
          <w:tcPr>
            <w:tcW w:w="56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13</w:t>
            </w:r>
          </w:p>
        </w:tc>
        <w:tc>
          <w:tcPr>
            <w:tcW w:w="1100"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10/17~11/21</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14:00~16:00</w:t>
            </w:r>
          </w:p>
        </w:tc>
        <w:tc>
          <w:tcPr>
            <w:tcW w:w="677"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996BE7" w:rsidRPr="009D5465" w:rsidRDefault="00996BE7" w:rsidP="009D5465">
            <w:pPr>
              <w:spacing w:line="320" w:lineRule="exact"/>
              <w:rPr>
                <w:rFonts w:ascii="標楷體" w:eastAsia="標楷體" w:hAnsi="標楷體" w:cs="Times New Roman"/>
                <w:sz w:val="22"/>
                <w:szCs w:val="22"/>
              </w:rPr>
            </w:pPr>
          </w:p>
        </w:tc>
        <w:tc>
          <w:tcPr>
            <w:tcW w:w="1559"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王秀華</w:t>
            </w:r>
          </w:p>
        </w:tc>
        <w:tc>
          <w:tcPr>
            <w:tcW w:w="1336" w:type="dxa"/>
          </w:tcPr>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996BE7" w:rsidRPr="009D5465" w:rsidRDefault="00996BE7"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996BE7" w:rsidRDefault="00996BE7"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996BE7" w:rsidRPr="0060322F" w:rsidRDefault="00996BE7"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996BE7" w:rsidRPr="002B601E" w:rsidRDefault="00996BE7" w:rsidP="002B601E">
      <w:pPr>
        <w:pStyle w:val="ListParagraph"/>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w:t>
      </w:r>
      <w:r>
        <w:rPr>
          <w:rFonts w:ascii="標楷體" w:eastAsia="標楷體" w:hAnsi="標楷體" w:cs="標楷體" w:hint="eastAsia"/>
          <w:sz w:val="28"/>
          <w:szCs w:val="28"/>
        </w:rPr>
        <w:t>小姐</w:t>
      </w:r>
      <w:r w:rsidRPr="002B601E">
        <w:rPr>
          <w:rFonts w:ascii="標楷體" w:eastAsia="標楷體" w:hAnsi="標楷體" w:cs="標楷體" w:hint="eastAsia"/>
          <w:sz w:val="28"/>
          <w:szCs w:val="28"/>
        </w:rPr>
        <w:t>、陳小姐</w:t>
      </w:r>
      <w:r w:rsidRPr="002B601E">
        <w:rPr>
          <w:rFonts w:ascii="標楷體" w:eastAsia="標楷體" w:hAnsi="標楷體" w:cs="標楷體"/>
          <w:sz w:val="28"/>
          <w:szCs w:val="28"/>
        </w:rPr>
        <w:t>)</w:t>
      </w:r>
    </w:p>
    <w:p w:rsidR="00996BE7" w:rsidRDefault="00996BE7" w:rsidP="00A416B1">
      <w:pPr>
        <w:spacing w:line="460" w:lineRule="exact"/>
        <w:rPr>
          <w:rFonts w:ascii="標楷體" w:eastAsia="標楷體" w:hAnsi="標楷體"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6" type="#_x0000_t75" style="position:absolute;margin-left:436.35pt;margin-top:34.45pt;width:84.2pt;height:84.2pt;z-index:251658240;visibility:visible">
            <v:imagedata r:id="rId7" o:title=""/>
            <w10:wrap type="topAndBottom"/>
          </v:shape>
        </w:pict>
      </w:r>
      <w:r>
        <w:rPr>
          <w:rFonts w:ascii="標楷體" w:eastAsia="標楷體" w:hAnsi="標楷體" w:cs="標楷體" w:hint="eastAsia"/>
          <w:sz w:val="28"/>
          <w:szCs w:val="28"/>
        </w:rPr>
        <w:t>嘉義縣圖書館粉絲專頁：</w:t>
      </w:r>
      <w:hyperlink r:id="rId8" w:history="1">
        <w:r w:rsidRPr="00F716F6">
          <w:rPr>
            <w:rStyle w:val="Hyperlink"/>
            <w:rFonts w:ascii="標楷體" w:eastAsia="標楷體" w:hAnsi="標楷體" w:cs="標楷體"/>
            <w:sz w:val="28"/>
            <w:szCs w:val="28"/>
          </w:rPr>
          <w:t>https://www.facebook.com/cycab.gov</w:t>
        </w:r>
      </w:hyperlink>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bookmarkStart w:id="0" w:name="_GoBack"/>
      <w:bookmarkEnd w:id="0"/>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Default="00996BE7" w:rsidP="00A416B1">
      <w:pPr>
        <w:spacing w:line="460" w:lineRule="exact"/>
        <w:rPr>
          <w:rFonts w:ascii="標楷體" w:eastAsia="標楷體" w:hAnsi="標楷體" w:cs="Times New Roman"/>
          <w:sz w:val="28"/>
          <w:szCs w:val="28"/>
        </w:rPr>
      </w:pPr>
    </w:p>
    <w:p w:rsidR="00996BE7" w:rsidRPr="00373523" w:rsidRDefault="00996BE7" w:rsidP="00A416B1">
      <w:pPr>
        <w:spacing w:line="460" w:lineRule="exact"/>
        <w:rPr>
          <w:rFonts w:ascii="標楷體" w:eastAsia="標楷體" w:hAnsi="標楷體" w:cs="Times New Roman"/>
          <w:b/>
          <w:bCs/>
          <w:sz w:val="32"/>
          <w:szCs w:val="32"/>
        </w:rPr>
      </w:pPr>
    </w:p>
    <w:sectPr w:rsidR="00996BE7" w:rsidRPr="00373523" w:rsidSect="009D0377">
      <w:pgSz w:w="11906" w:h="16838"/>
      <w:pgMar w:top="737" w:right="397" w:bottom="737"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E7" w:rsidRDefault="00996BE7" w:rsidP="00DF6DC5">
      <w:pPr>
        <w:rPr>
          <w:rFonts w:cs="Times New Roman"/>
        </w:rPr>
      </w:pPr>
      <w:r>
        <w:rPr>
          <w:rFonts w:cs="Times New Roman"/>
        </w:rPr>
        <w:separator/>
      </w:r>
    </w:p>
  </w:endnote>
  <w:endnote w:type="continuationSeparator" w:id="1">
    <w:p w:rsidR="00996BE7" w:rsidRDefault="00996BE7" w:rsidP="00DF6D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E7" w:rsidRDefault="00996BE7" w:rsidP="00DF6DC5">
      <w:pPr>
        <w:rPr>
          <w:rFonts w:cs="Times New Roman"/>
        </w:rPr>
      </w:pPr>
      <w:r>
        <w:rPr>
          <w:rFonts w:cs="Times New Roman"/>
        </w:rPr>
        <w:separator/>
      </w:r>
    </w:p>
  </w:footnote>
  <w:footnote w:type="continuationSeparator" w:id="1">
    <w:p w:rsidR="00996BE7" w:rsidRDefault="00996BE7" w:rsidP="00DF6DC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38DB"/>
    <w:rsid w:val="001E5AF1"/>
    <w:rsid w:val="001E5FA0"/>
    <w:rsid w:val="001E68C1"/>
    <w:rsid w:val="001F2E0F"/>
    <w:rsid w:val="0020351D"/>
    <w:rsid w:val="00203E6E"/>
    <w:rsid w:val="00205F84"/>
    <w:rsid w:val="00211EF6"/>
    <w:rsid w:val="002121C8"/>
    <w:rsid w:val="00220823"/>
    <w:rsid w:val="00221946"/>
    <w:rsid w:val="00230978"/>
    <w:rsid w:val="00235998"/>
    <w:rsid w:val="002402AA"/>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16EA0"/>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96BE7"/>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9A"/>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58F7"/>
    <w:pPr>
      <w:ind w:leftChars="200" w:left="480"/>
    </w:pPr>
  </w:style>
  <w:style w:type="table" w:styleId="TableGrid">
    <w:name w:val="Table Grid"/>
    <w:basedOn w:val="TableNormal"/>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6D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F6DC5"/>
    <w:rPr>
      <w:sz w:val="20"/>
      <w:szCs w:val="20"/>
    </w:rPr>
  </w:style>
  <w:style w:type="paragraph" w:styleId="Footer">
    <w:name w:val="footer"/>
    <w:basedOn w:val="Normal"/>
    <w:link w:val="FooterChar"/>
    <w:uiPriority w:val="99"/>
    <w:rsid w:val="00DF6D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F6DC5"/>
    <w:rPr>
      <w:sz w:val="20"/>
      <w:szCs w:val="20"/>
    </w:rPr>
  </w:style>
  <w:style w:type="character" w:styleId="Strong">
    <w:name w:val="Strong"/>
    <w:basedOn w:val="DefaultParagraphFont"/>
    <w:uiPriority w:val="99"/>
    <w:qFormat/>
    <w:rsid w:val="00F50668"/>
    <w:rPr>
      <w:b/>
      <w:bCs/>
    </w:rPr>
  </w:style>
  <w:style w:type="character" w:styleId="Hyperlink">
    <w:name w:val="Hyperlink"/>
    <w:basedOn w:val="DefaultParagraphFont"/>
    <w:uiPriority w:val="99"/>
    <w:rsid w:val="006777A4"/>
    <w:rPr>
      <w:color w:val="0000FF"/>
      <w:u w:val="single"/>
    </w:rPr>
  </w:style>
  <w:style w:type="paragraph" w:styleId="BalloonText">
    <w:name w:val="Balloon Text"/>
    <w:basedOn w:val="Normal"/>
    <w:link w:val="BalloonTextChar"/>
    <w:uiPriority w:val="99"/>
    <w:semiHidden/>
    <w:rsid w:val="003850CE"/>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3850CE"/>
    <w:rPr>
      <w:rFonts w:ascii="Calibri Light" w:eastAsia="新細明體" w:hAnsi="Calibri Light" w:cs="Calibri Light"/>
      <w:sz w:val="18"/>
      <w:szCs w:val="18"/>
    </w:rPr>
  </w:style>
  <w:style w:type="character" w:styleId="Emphasis">
    <w:name w:val="Emphasis"/>
    <w:basedOn w:val="DefaultParagraphFont"/>
    <w:uiPriority w:val="99"/>
    <w:qFormat/>
    <w:rsid w:val="00EF0287"/>
    <w:rPr>
      <w:i/>
      <w:iCs/>
    </w:rPr>
  </w:style>
  <w:style w:type="paragraph" w:customStyle="1" w:styleId="a">
    <w:name w:val="字元 字元 字元 字元 字元 字元 字元"/>
    <w:basedOn w:val="Normal"/>
    <w:uiPriority w:val="99"/>
    <w:rsid w:val="0008250F"/>
    <w:pPr>
      <w:widowControl/>
      <w:spacing w:after="160" w:line="240" w:lineRule="exact"/>
    </w:pPr>
    <w:rPr>
      <w:rFonts w:ascii="Tahoma" w:hAnsi="Tahoma" w:cs="Tahoma"/>
      <w:kern w:val="0"/>
      <w:sz w:val="20"/>
      <w:szCs w:val="20"/>
      <w:lang w:eastAsia="en-US"/>
    </w:rPr>
  </w:style>
  <w:style w:type="character" w:styleId="CommentReference">
    <w:name w:val="annotation reference"/>
    <w:basedOn w:val="DefaultParagraphFont"/>
    <w:uiPriority w:val="99"/>
    <w:semiHidden/>
    <w:rsid w:val="00CC6B03"/>
    <w:rPr>
      <w:sz w:val="18"/>
      <w:szCs w:val="18"/>
    </w:rPr>
  </w:style>
  <w:style w:type="paragraph" w:styleId="CommentText">
    <w:name w:val="annotation text"/>
    <w:basedOn w:val="Normal"/>
    <w:link w:val="CommentTextChar"/>
    <w:uiPriority w:val="99"/>
    <w:semiHidden/>
    <w:rsid w:val="00CC6B03"/>
  </w:style>
  <w:style w:type="character" w:customStyle="1" w:styleId="CommentTextChar">
    <w:name w:val="Comment Text Char"/>
    <w:basedOn w:val="DefaultParagraphFont"/>
    <w:link w:val="CommentText"/>
    <w:uiPriority w:val="99"/>
    <w:semiHidden/>
    <w:locked/>
    <w:rsid w:val="00CC6B03"/>
  </w:style>
  <w:style w:type="paragraph" w:styleId="CommentSubject">
    <w:name w:val="annotation subject"/>
    <w:basedOn w:val="CommentText"/>
    <w:next w:val="CommentText"/>
    <w:link w:val="CommentSubjectChar"/>
    <w:uiPriority w:val="99"/>
    <w:semiHidden/>
    <w:rsid w:val="00CC6B03"/>
    <w:rPr>
      <w:b/>
      <w:bCs/>
    </w:rPr>
  </w:style>
  <w:style w:type="character" w:customStyle="1" w:styleId="CommentSubjectChar">
    <w:name w:val="Comment Subject Char"/>
    <w:basedOn w:val="CommentTextChar"/>
    <w:link w:val="CommentSubject"/>
    <w:uiPriority w:val="99"/>
    <w:semiHidden/>
    <w:locked/>
    <w:rsid w:val="00CC6B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379</Words>
  <Characters>2163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2020-05-04T00:10:00Z</cp:lastPrinted>
  <dcterms:created xsi:type="dcterms:W3CDTF">2020-05-04T01:04:00Z</dcterms:created>
  <dcterms:modified xsi:type="dcterms:W3CDTF">2020-05-04T03:24:00Z</dcterms:modified>
</cp:coreProperties>
</file>